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Гериатрия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02:55 МСК · База обновлена: 21.07.2026, 13:46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Гериатрия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72 лет вызвал участкового врача-терапевта на дом.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эпизодическую боль в загрудинной области давящего характера, возникающую при небольшой физической нагрузке (ходьбе в среднем темпе до 500 м, при подъеме по лестнице на 1—2 пролета), эмоциональной нагрузке, купирующуюся приемом нитратов в течение 3-4 минут, эпизодически в покое;</w:t>
      </w:r>
    </w:p>
    <w:p>
      <w:pPr>
        <w:spacing w:after="58"/>
      </w:pPr>
      <w:r>
        <w:rPr>
          <w:b w:val="0"/>
          <w:i w:val="0"/>
        </w:rPr>
        <w:t>- на одышку при незначительной физической нагрузке;</w:t>
      </w:r>
    </w:p>
    <w:p>
      <w:pPr>
        <w:spacing w:after="58"/>
      </w:pPr>
      <w:r>
        <w:rPr>
          <w:b w:val="0"/>
          <w:i w:val="0"/>
        </w:rPr>
        <w:t>- на шаткость и неустойчивость при ходьбе;</w:t>
      </w:r>
    </w:p>
    <w:p>
      <w:pPr>
        <w:spacing w:after="58"/>
      </w:pPr>
      <w:r>
        <w:rPr>
          <w:b w:val="0"/>
          <w:i w:val="0"/>
        </w:rPr>
        <w:t>- на снижение зрения;</w:t>
      </w:r>
    </w:p>
    <w:p>
      <w:pPr>
        <w:spacing w:after="58"/>
      </w:pPr>
      <w:r>
        <w:rPr>
          <w:b w:val="0"/>
          <w:i w:val="0"/>
        </w:rPr>
        <w:t>- на страх падений.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с 55 лет, когда впервые стал отмечать загрудинные давящие боли при физической нагрузке, проходящие в покое и после нитратов короткого действия. Получает постоянную терапию нитратами, периндоприлом, индапамидом, аспирином. Несмотря на антигипертензивную терапию последние 6 мес., артериальное давление плохо контролируется. В течение 5 лет страдает сахарным диабетом 2 типа, получает постоянную сахароснижающую терапию (метформин 1000 мг). Назначенную гиполипидемическую терапию самостоятельно отменил. Отмечает ухудшение состояния в течение последнего месяца, когда ангинозные боли стали возникать чаще, усилилась одышка, появились отеки ног.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На пенсии с 60 лет, работал электриком. Наследственность: отягощена по линии отца по сердечно-сосудистым заболеваниям. Аллергологический анамнез не отягощен. Вредные привычки: не курит, злоупотребление алкоголем отрицает. Отмечает неустойчивость, шаткость при ходьбе последние 6 месяцев, за это время – 2 эпизода падения (в ванной и 1 раз в комнате), переломов не было. Отмечает снижение зрения в течение 3 лет. По данным медицинской документации уровень витамина D 26 нг/мл (норма витамина Д 30–100 нг/мл).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относительно удовлетворительное. Распределение подкожной жировой клетчатки по абдоминальному типу, повышенного питания. Индекс массы тела − 38,2 кг/м2. Окружность талии − 112 см. Кожные покровы нормальной окраски, чистые, умеренной влажности. Пастозность голеней, стоп. Язык влажный, не обложен. Периферические лимфатические узлы, доступные пальпации, не увеличены. Частота дыхательных движений − 18 в минуту. В легких дыхание везикулярное, проводится во все отделы, хрипов нет. Тоны сердца приглушены, ритмичные, шумов нет. Артериальное давление − 180/100 мм рт. ст., Частота сердечных сокращений − 79 удара в минуту. Живот при пальпации мягкий, безболезненный. Печень у края реберной дуги, при пальпации безболезненна. Селезенка не увеличена. Симптом поколачивания отрицательный с обеих сторон. Щитовидная железа не увеличена. Ходит медленно, короткими шагами. Шкала «Возраст не помеха» 3 балла.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высокочувствительный СРБ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по Нечипоренко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гликозилированного гемоглобина крови и уровня глюкозы крови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антистрептолизина О,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международного нормализованного отношения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крови; 4 — определение уровня гликозилированного гемоглобина крови и уровня глюкозы крови натощак</w:t>
      </w:r>
    </w:p>
    <w:p>
      <w:pPr>
        <w:ind w:left="504"/>
      </w:pPr>
      <w:r>
        <w:rPr>
          <w:b w:val="0"/>
          <w:i/>
        </w:rPr>
        <w:t>Всем пациентам рекомендуется проводить общий анализ крови с измерением уровней гемоглобина, эритроцитов и лейкоцитов.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Рекомендована оценка факторов риска, влияющих на развитие ишемической болезни сердца при сахарном диабете – возраст пациента на момент дебюта гипергликемии, наследственность по сахарному диабету, сосудистые осложнения, уровень глюкозы плазмы натощак, уровень HbA1c.</w:t>
        <w:br/>
        <w:br/>
      </w:r>
      <w:hyperlink r:id="rId23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магнитно-резонансную томографию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спирометрию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ультразвуковую допплерографию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трансторакальную эхокардиографию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электрокардиографию; 6 — трансторакальную эхокардиографию</w:t>
      </w:r>
    </w:p>
    <w:p>
      <w:pPr>
        <w:ind w:left="504"/>
      </w:pPr>
      <w:r>
        <w:rPr>
          <w:b w:val="0"/>
          <w:i/>
        </w:rPr>
        <w:t>Всем пациентам с подозрением на ишемическую болезнь сердца при обращении к врачу рекомендуется выполнить электрокардиографию в покое и расшифровать электрокардиограмму.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эхокардиограмма в покое рекомендуется всем пациентам с подозрением на стабильную ишемической болезни сердца и при ранее доказанной стабильной ишемической болезни сердца.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анамнез, данные лабораторных и физикальных методов обследования,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Ишемическая болезнь сердца. Стенокардия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Ишемическая болезнь сердца. Стенокардия Принцметала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болезнь сердца. Впервые возникшая стенокардия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Ишемическая болезнь сердца. Стенокардия напряжения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* Боль в области грудины, возможно с иррадиацией в левую руку, спину или нижнюю челюсть, реже в эпигастральную область, длительностью 2—5 мин. Эквивалентами боли бывают одышка, ощущение «тяжести», «жжения».</w:t>
        <w:br/>
        <w:br/>
        <w:t>* Вышеописанная боль возникает во время физической нагрузки, либо сильного эмоционального стресса.</w:t>
        <w:br/>
        <w:br/>
        <w:t>* Вышеописанная боль быстро исчезает после прекращения физической нагрузки либо после приема нитроглицерина.</w:t>
        <w:br/>
        <w:br/>
        <w:t>Для подтверждения диагноза типичной (несомненной) стенокардии необходимо наличие у пациента всех трех вышеперечисленных признаков одновременно.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данного пациента клинические проявления свидетельствуют о наличии +_____+ функционального класса стенокардии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III</w:t>
      </w:r>
    </w:p>
    <w:p>
      <w:pPr>
        <w:ind w:left="504"/>
      </w:pPr>
      <w:r>
        <w:rPr>
          <w:b w:val="0"/>
          <w:i/>
        </w:rPr>
        <w:t>Приступы стенокардии резко ограничивают физическую активность: возникают при незначительной нагрузке – при ходьбе в среднем темпе &lt;500 м, при подъеме по лестнице на 1-2 пролета. Изредка приступы возникают в покое.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Фоновым заболеванием, которое усугубляет течение основного заболевания и является фактором риска сердечно-сосудистых осложнений, является Гипертоническая болезнь +_____+ стадии. Риск +_________+. Целевой уровень АД не достигнут.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3; 3 (низкий)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2; 4 (очень высокий)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3; 4 (очень высокий)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3 (высокий)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3; 4 (очень высокий)</w:t>
      </w:r>
    </w:p>
    <w:p>
      <w:pPr>
        <w:ind w:left="504"/>
      </w:pPr>
      <w:r>
        <w:rPr>
          <w:b w:val="0"/>
          <w:i/>
        </w:rPr>
        <w:t>У пациента имеется коморбидность в виде наличия ишемической болезни сердца и сахарного диабета, что свидетельствует о 3 стадии гипертонической болезни и очень высоком риске развития сердечно-сосудистых осложнений. Максимальные цифры повышения артериального давления (180/100 мм рт. ст.) соответствуют 3 степени артериальной гипертензии.</w:t>
        <w:br/>
        <w:br/>
      </w:r>
      <w:hyperlink r:id="rId3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Уровни глюкозы плазмы крови натощак и гликозилированного гемоглобина обусловливают необходимость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добавления второго сахароснижающего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продолжения приема назначенного препарата в полном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отмены метформина и перевода пациента на препараты инсулина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дополнительного введения инсулина короткого действия на фоне продолжения приема метформина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продолжения приема назначенного препарата в полном объеме</w:t>
      </w:r>
    </w:p>
    <w:p>
      <w:pPr>
        <w:ind w:left="504"/>
      </w:pPr>
      <w:r>
        <w:rPr>
          <w:b w:val="0"/>
          <w:i/>
        </w:rPr>
        <w:t>На фоне регулярного приема метформина отмечается достижение целевого уровня глюкоза плазмы натощак и гликозилированного гемоглобина.</w:t>
        <w:br/>
        <w:br/>
      </w:r>
      <w:hyperlink r:id="rId23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антиангинальной терапии пациенту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комплексную метаболическую терапию, включающая триметазидин, мексидол и препараты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комплексную терапию, включающая триметазидин и ранолазин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монотерапию бета-адреноблокаторами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комбинацию бета-адреноблокатора с дигидропиридиновым антагонистом 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комбинацию бета-адреноблокатора с дигидропиридиновым антагонистом кальция</w:t>
      </w:r>
    </w:p>
    <w:p>
      <w:pPr>
        <w:ind w:left="504"/>
      </w:pPr>
      <w:r>
        <w:rPr>
          <w:b w:val="0"/>
          <w:i/>
        </w:rPr>
        <w:t>При стабильной стенокардии 3-4 функционального класса рекомендуется сразу назначить комбинацию бета-адреноблокатора с дигидропиридиновым антагонистом кальция.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Целевое значение частоты сердечных сокращений у пациента на фоне принимаемой терапии должно составлять _____ ударов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55-60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65-70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75-80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55-60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Целевые значения уровня липопротеидов низкой плотности при терапии статинами у данного пациента должны составлять +___+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≤2,5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≤4,0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&lt;1,4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≤3,0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&lt;1,4</w:t>
      </w:r>
    </w:p>
    <w:p>
      <w:pPr>
        <w:ind w:left="504"/>
      </w:pPr>
      <w:r>
        <w:rPr>
          <w:b w:val="0"/>
          <w:i/>
        </w:rPr>
        <w:t>Для профилактики сердечно-сосудистых осложнений всем пациентам с стабильной ишемической болезнью сердца рекомендуется назначать статины для достижения целевого уровня липопротеидов низкой плотности (&lt;1,4 ммоль/л), т.к. риск очень высокий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Оценить походку и риск падений у пожилых пациентов позволяет 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вставания со стула 5 раз без помощи рук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ходьбы на расстоянии 6 метров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«Встань и иди»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тандемный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«Встань и иди»</w:t>
      </w:r>
    </w:p>
    <w:p>
      <w:pPr>
        <w:ind w:left="504"/>
      </w:pPr>
      <w:r>
        <w:rPr>
          <w:b w:val="0"/>
          <w:i/>
        </w:rPr>
        <w:t>Рекомендовано выполнять тест «Встань и иди» у пациентов, направленных на КГО, для оценки риска падений и выявления нарушений походки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риск падений, пациенту необходимо назначить консультацию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пульмонолога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ревматолога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гастроэнтеролога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офтальмолога</w:t>
      </w:r>
    </w:p>
    <w:p>
      <w:pPr>
        <w:ind w:left="504"/>
      </w:pPr>
      <w:r>
        <w:rPr>
          <w:b w:val="0"/>
          <w:i/>
        </w:rPr>
        <w:t>Сенсорные нарушения (снижение зрения и слуха) затрудняют выполнение повседневных задач, повышают риск когнитивных нарушений, депрессии, падений, социальной изоляции, ухудшают прогноз для жизни пожилых людей. При выявлении сенсорных дефицитов целесообразно направление пациента на консультацию к соответствующим врачам- специалистам - врачу-офтальмологу, врачу-сурдологу-оториноларингологу.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составе комплекса мер для снижения риска падений пациенту с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колекальциферол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колекальциферол</w:t>
      </w:r>
    </w:p>
    <w:p>
      <w:pPr>
        <w:ind w:left="504"/>
      </w:pPr>
      <w:r>
        <w:rPr>
          <w:b w:val="0"/>
          <w:i/>
        </w:rPr>
        <w:t>Рекомендуется назначение колекальциферола c/или без препаратов кальция пациентам с недостатком/дефицитом витамина D в составе комплекса мер для снижения риска падений.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Старческая астения,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Гериатрия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55_24/" TargetMode="External"/><Relationship Id="rId22" Type="http://schemas.openxmlformats.org/officeDocument/2006/relationships/hyperlink" Target="https://library.mededtech.ru/rest/documents/KP155_24/#list_item_f77pd5" TargetMode="External"/><Relationship Id="rId23" Type="http://schemas.openxmlformats.org/officeDocument/2006/relationships/hyperlink" Target="https://library.mededtech.ru/rest/documents/algosd25/" TargetMode="External"/><Relationship Id="rId24" Type="http://schemas.openxmlformats.org/officeDocument/2006/relationships/hyperlink" Target="https://library.mededtech.ru/rest/documents/algosd25/#paragraph_v7ub4j" TargetMode="External"/><Relationship Id="rId25" Type="http://schemas.openxmlformats.org/officeDocument/2006/relationships/hyperlink" Target="https://library.mededtech.ru/rest/documents/KP155_24/#list_item_5m2rsf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KP155_24/#list_item_udpfta" TargetMode="External"/><Relationship Id="rId28" Type="http://schemas.openxmlformats.org/officeDocument/2006/relationships/hyperlink" Target="https://library.mededtech.ru/rest/documents/KP155_24/#list_item_2p39pm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KP155_24/#paragraph_cndd3q" TargetMode="External"/><Relationship Id="rId31" Type="http://schemas.openxmlformats.org/officeDocument/2006/relationships/hyperlink" Target="https://library.mededtech.ru/rest/documents/KP155_24/#table&#1055;&#1040;3-1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62_24/" TargetMode="External"/><Relationship Id="rId34" Type="http://schemas.openxmlformats.org/officeDocument/2006/relationships/hyperlink" Target="https://library.mededtech.ru/rest/documents/KP62_24/#paragraph_02knai" TargetMode="External"/><Relationship Id="rId35" Type="http://schemas.openxmlformats.org/officeDocument/2006/relationships/hyperlink" Target="https://library.mededtech.ru/rest/documents/algosd25/#image_7njfcb" TargetMode="External"/><Relationship Id="rId36" Type="http://schemas.openxmlformats.org/officeDocument/2006/relationships/hyperlink" Target="https://library.mededtech.ru/rest/documents/KP155_24/#list_item_ar5scq" TargetMode="External"/><Relationship Id="rId37" Type="http://schemas.openxmlformats.org/officeDocument/2006/relationships/hyperlink" Target="https://library.mededtech.ru/rest/documents/KP155_24/#paragraph_vmsbtn" TargetMode="External"/><Relationship Id="rId38" Type="http://schemas.openxmlformats.org/officeDocument/2006/relationships/hyperlink" Target="https://library.mededtech.ru/rest/documents/KP155_24/#list_item_mrogbv" TargetMode="External"/><Relationship Id="rId39" Type="http://schemas.openxmlformats.org/officeDocument/2006/relationships/hyperlink" Target="https://library.mededtech.ru/rest/documents/KP613_24/" TargetMode="External"/><Relationship Id="rId40" Type="http://schemas.openxmlformats.org/officeDocument/2006/relationships/hyperlink" Target="https://library.mededtech.ru/rest/documents/KP613_24/#appG5" TargetMode="External"/><Relationship Id="rId41" Type="http://schemas.openxmlformats.org/officeDocument/2006/relationships/hyperlink" Target="https://library.mededtech.ru/rest/documents/KP613_24/#list_item_04tcht" TargetMode="External"/><Relationship Id="rId42" Type="http://schemas.openxmlformats.org/officeDocument/2006/relationships/hyperlink" Target="https://library.mededtech.ru/rest/documents/KP613_24/#list_item_tfqq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